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143 I 217</w:t>
      </w:r>
    </w:p>
    <w:p>
      <w:r>
        <w:t>Bundesgericht (BGE), 2017-04-04, FR</w:t>
      </w:r>
    </w:p>
    <w:p>
      <w:r>
        <w:rPr>
          <w:b/>
        </w:rPr>
        <w:t xml:space="preserve">Quelle: </w:t>
      </w:r>
      <w:r>
        <w:t>https://mcp.opencaselaw.ch/entscheid/bge_143 I 217</w:t>
      </w:r>
    </w:p>
    <w:p>
      <w:r>
        <w:t>FR: ATF 143 I 217</w:t>
      </w:r>
    </w:p>
    <w:p>
      <w:r>
        <w:t>IT: DTF 143 I 217</w:t>
      </w:r>
    </w:p>
    <w:p>
      <w:pPr>
        <w:pStyle w:val="Heading2"/>
      </w:pPr>
      <w:r>
        <w:t>Regeste</w:t>
      </w:r>
    </w:p>
    <w:p>
      <w:r>
        <w:t>Regeste Anwendbarkeit von Verfassungsbestimmungen auf Beziehungen zwischen Privaten. Zusammenfassung der Rechtsprechung (E. 5.2).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(...)</w:t>
      </w:r>
    </w:p>
    <w:p>
      <w:r>
        <w:rPr>
          <w:b/>
        </w:rPr>
        <w:t>E. 5.2</w:t>
      </w:r>
    </w:p>
    <w:p>
      <w:r>
        <w:t>L'invocation des art. 26 et 27 Cst. n'est d'aucune aide au recourant. L'application - sinon immédiate, du moins indirecte - des règles constitutionnelles aux relations entre les particuliers n'est pas exclue, s'agissant notamment de l'interprétation des clauses générales et des notions juridiques indéterminées du droit privé ( ATF 111 II 245 consid. 4b et les références). La reconnaissance de cet effet BGE 143 I 217 S. 219 "horizontal" des droits fondamentaux n'empêche cependant pas que les rapports entre particuliers relèvent directement des seules lois civiles et pénales. C'est donc par celles-ci que l'individu est protégé contre les atteintes que d'autres sujets de droit privé pourraient porter à ses droits constitutionnels ( ATF 107 Ia 277 consid. 3a; arrêt 5A_444/2011 du 16 novembre 2011 consid. 7 et les références). Le recourant ne saurait dès lors se prévaloir directement, dans une cause relevant des droits réels, de la garantie constitutionnelle de la propriété ( art. 26 Cst. ; cf. arrêts 5A_362/2016 du 20 février 2017 consid. 6.3; 5A_365/2008 du 27 octobre 2008 consid. 4; 5P.476/2006 du 16 janvier 2007 consid. 4) et de la liberté économique ( art. 27 Cst. ; cf. arrêts 5A_256/2015 du 13 août 2015 consid. 3.1; 5A_506/2014 du 23 octobre 2014 consid. 4.3.2; 5A_444/2011 précité; 5A_871/2009 du 2 juin 2010 consid. 2). (...)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